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El variador de frecuencia serie C2000 proporciona la solución más eficiente para todo tipo de aplicaciones de variadores. Cuenta con funciones precisas de control de velocidad, par y posición que son adecuadas para motores síncronos y asíncronos con y sin sensor.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 serie C2000 también está equipada con funciones PLC integradas y admite la extensión CANopen Master/Slave para lo último en flexibilidad del sistema y rápido intercambio de datos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 en uno: Podrá controlar motores asíncronos y servomotores “brushless” con encoder.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Unidad de frenado incorporada en los equipos de 0,75 a 30 kW.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Permite el montaje de hasta 3 cartas de expansión: entradas/salidas, realimentación por encoder, comunicaciones: Profibus-DP, DeviceNet, CANopen, Modbus TCP y EtherNet/IP).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Función de “parada segura” incorporada, s/ EN954-1, EN60204-1 y IEC61508.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Filtro de RFI incorporado, con posibilidad de ser desconectado.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Circuitos impresos barnizados.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Regleta de control extraíble.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Inductancia incorporada en el bus c.c.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Posibilidad opcional de kit de montaje para realizar la disipación de calor externamente.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APLICACIONES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Maquinaria de envasado de alimentos, transportadores, maquinaria textil, maquinaria para trabajar la madera, ventiladores, bombas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